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Provvedimenti in autotutela per tributi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contribuente che riceve la notifica di un atto impositivo tributario ritenuto errato, la possibilita' di chiedere all'Ente il suo annullamento o rettifica.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126/2008 - D.Lgs. 23/2011 - L. 208/2015 (legge di stabilita' 2016) - Regolamento comunale ICI - Regolamento per l'applicazione IMU - Regolamento generale delle entrate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